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D766B" w14:textId="77777777" w:rsidR="00435B2B" w:rsidRPr="00435B2B" w:rsidRDefault="00435B2B" w:rsidP="00435B2B">
      <w:pPr>
        <w:rPr>
          <w:rFonts w:ascii="Arial" w:hAnsi="Arial" w:cs="Arial"/>
          <w:color w:val="FFFFFF" w:themeColor="background1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Что такое система страхования депозитов и сбережений?</w:t>
      </w:r>
    </w:p>
    <w:p w14:paraId="77E4ECEA" w14:textId="77777777" w:rsidR="00435B2B" w:rsidRPr="00435B2B" w:rsidRDefault="00435B2B" w:rsidP="00435B2B">
      <w:pPr>
        <w:rPr>
          <w:rFonts w:ascii="Arial" w:hAnsi="Arial" w:cs="Arial"/>
        </w:rPr>
      </w:pPr>
    </w:p>
    <w:p w14:paraId="2461CB90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Система страхования депозитов и сбережений – это государственная защита прав и законных интересов вкладчиков, направленная на выплату Фондом страхового возмещения вкладчикам при наступлении страхового случая в кредитной организации.</w:t>
      </w:r>
    </w:p>
    <w:p w14:paraId="56CB2535" w14:textId="77777777" w:rsidR="00435B2B" w:rsidRPr="00435B2B" w:rsidRDefault="00435B2B" w:rsidP="00435B2B">
      <w:pPr>
        <w:rPr>
          <w:rFonts w:ascii="Arial" w:hAnsi="Arial" w:cs="Arial"/>
        </w:rPr>
      </w:pPr>
    </w:p>
    <w:p w14:paraId="4A5F508C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Целью системы страхования депозитов и сбережений является содействие обеспечению стабильности финансовой системы Республики Таджикистан, в том числе поддержание доверия населения к банковской системе. Вопросы страхования сбережений физических лиц регулируются Законом Республики Таджикистан «О страховании депозитов и сбережений».</w:t>
      </w:r>
    </w:p>
    <w:p w14:paraId="45A1F316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 xml:space="preserve">Для обеспечения функционирования системы страхования депозитов и сбережений действует Фонд страхования депозитов и сбережений Таджикистана. Фонд является некоммерческим юридическим лицом, </w:t>
      </w:r>
      <w:proofErr w:type="gramStart"/>
      <w:r w:rsidRPr="00435B2B">
        <w:rPr>
          <w:rFonts w:ascii="Arial" w:hAnsi="Arial" w:cs="Arial"/>
        </w:rPr>
        <w:t>который согласно Закону</w:t>
      </w:r>
      <w:proofErr w:type="gramEnd"/>
      <w:r w:rsidRPr="00435B2B">
        <w:rPr>
          <w:rFonts w:ascii="Arial" w:hAnsi="Arial" w:cs="Arial"/>
        </w:rPr>
        <w:t xml:space="preserve"> защищает права и законные интересы вкладчиков путем выплаты страхового возмещения.</w:t>
      </w:r>
    </w:p>
    <w:p w14:paraId="70F75FDE" w14:textId="77777777" w:rsidR="00435B2B" w:rsidRPr="00435B2B" w:rsidRDefault="00435B2B" w:rsidP="00435B2B">
      <w:pPr>
        <w:rPr>
          <w:rFonts w:ascii="Arial" w:hAnsi="Arial" w:cs="Arial"/>
        </w:rPr>
      </w:pPr>
    </w:p>
    <w:p w14:paraId="5D25AF6C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 xml:space="preserve">Фонд осуществляет выплату страхового возмещения вкладчикам при наступлении страхового случая в пределах размера, установленного Законом, ведет реестр кредитных организаций участников системы страхования депозитов и сбережений, осуществляет сбор и учет платежей от кредитных организаций, а также иный </w:t>
      </w:r>
      <w:proofErr w:type="gramStart"/>
      <w:r w:rsidRPr="00435B2B">
        <w:rPr>
          <w:rFonts w:ascii="Arial" w:hAnsi="Arial" w:cs="Arial"/>
        </w:rPr>
        <w:t>функции</w:t>
      </w:r>
      <w:proofErr w:type="gramEnd"/>
      <w:r w:rsidRPr="00435B2B">
        <w:rPr>
          <w:rFonts w:ascii="Arial" w:hAnsi="Arial" w:cs="Arial"/>
        </w:rPr>
        <w:t xml:space="preserve"> предусмотренные Законом.</w:t>
      </w:r>
    </w:p>
    <w:p w14:paraId="09C7B21B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Целями Фонда являются:</w:t>
      </w:r>
    </w:p>
    <w:p w14:paraId="4D08708D" w14:textId="77777777" w:rsidR="00435B2B" w:rsidRPr="00435B2B" w:rsidRDefault="00435B2B" w:rsidP="00435B2B">
      <w:pPr>
        <w:rPr>
          <w:rFonts w:ascii="Arial" w:hAnsi="Arial" w:cs="Arial"/>
        </w:rPr>
      </w:pPr>
    </w:p>
    <w:p w14:paraId="57D2BAA5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защита прав и законных интересов вкладчиков путем выплаты страхового возмещения;</w:t>
      </w:r>
    </w:p>
    <w:p w14:paraId="4A4F3B96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обеспечение функционирования системы страхования депозитов и сбережений и содействие стабильности финансовой системы в Республике Таджикистан;</w:t>
      </w:r>
    </w:p>
    <w:p w14:paraId="5CADB5B1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укрепление доверия населения к банковской системе Республики Таджикистан.</w:t>
      </w:r>
    </w:p>
    <w:p w14:paraId="0F203D17" w14:textId="77777777" w:rsidR="00435B2B" w:rsidRPr="00435B2B" w:rsidRDefault="00435B2B" w:rsidP="00435B2B">
      <w:pPr>
        <w:rPr>
          <w:rFonts w:ascii="Arial" w:hAnsi="Arial" w:cs="Arial"/>
        </w:rPr>
      </w:pPr>
    </w:p>
    <w:p w14:paraId="62D46382" w14:textId="77777777" w:rsidR="00435B2B" w:rsidRPr="00435B2B" w:rsidRDefault="00435B2B" w:rsidP="00435B2B">
      <w:pPr>
        <w:rPr>
          <w:rFonts w:ascii="Arial" w:hAnsi="Arial" w:cs="Arial"/>
          <w:color w:val="FFFFFF" w:themeColor="background1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Контакты:</w:t>
      </w:r>
    </w:p>
    <w:p w14:paraId="08FA6F5C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•</w:t>
      </w:r>
      <w:r w:rsidRPr="00435B2B">
        <w:rPr>
          <w:rFonts w:ascii="Arial" w:hAnsi="Arial" w:cs="Arial"/>
        </w:rPr>
        <w:tab/>
        <w:t xml:space="preserve">Адрес: Республика Таджикистан, 734025 </w:t>
      </w:r>
      <w:proofErr w:type="spellStart"/>
      <w:r w:rsidRPr="00435B2B">
        <w:rPr>
          <w:rFonts w:ascii="Arial" w:hAnsi="Arial" w:cs="Arial"/>
        </w:rPr>
        <w:t>г.Душанбе</w:t>
      </w:r>
      <w:proofErr w:type="spellEnd"/>
      <w:r w:rsidRPr="00435B2B">
        <w:rPr>
          <w:rFonts w:ascii="Arial" w:hAnsi="Arial" w:cs="Arial"/>
        </w:rPr>
        <w:t xml:space="preserve">, </w:t>
      </w:r>
      <w:proofErr w:type="spellStart"/>
      <w:r w:rsidRPr="00435B2B">
        <w:rPr>
          <w:rFonts w:ascii="Arial" w:hAnsi="Arial" w:cs="Arial"/>
        </w:rPr>
        <w:t>ул.Маяковского</w:t>
      </w:r>
      <w:proofErr w:type="spellEnd"/>
      <w:r w:rsidRPr="00435B2B">
        <w:rPr>
          <w:rFonts w:ascii="Arial" w:hAnsi="Arial" w:cs="Arial"/>
        </w:rPr>
        <w:t xml:space="preserve"> 77/2 </w:t>
      </w:r>
      <w:r w:rsidRPr="00435B2B">
        <w:rPr>
          <w:rFonts w:ascii="Arial" w:hAnsi="Arial" w:cs="Arial"/>
        </w:rPr>
        <w:br/>
        <w:t>•</w:t>
      </w:r>
      <w:r w:rsidRPr="00435B2B">
        <w:rPr>
          <w:rFonts w:ascii="Arial" w:hAnsi="Arial" w:cs="Arial"/>
        </w:rPr>
        <w:tab/>
        <w:t>Сайт: </w:t>
      </w:r>
      <w:hyperlink r:id="rId4" w:history="1">
        <w:r w:rsidRPr="00435B2B">
          <w:rPr>
            <w:rStyle w:val="ac"/>
            <w:rFonts w:ascii="Arial" w:hAnsi="Arial" w:cs="Arial"/>
          </w:rPr>
          <w:t>www.idif.tj</w:t>
        </w:r>
      </w:hyperlink>
      <w:r w:rsidRPr="00435B2B">
        <w:rPr>
          <w:rFonts w:ascii="Arial" w:hAnsi="Arial" w:cs="Arial"/>
        </w:rPr>
        <w:br/>
      </w:r>
      <w:r w:rsidRPr="00435B2B">
        <w:rPr>
          <w:rFonts w:ascii="Arial" w:hAnsi="Arial" w:cs="Arial"/>
        </w:rPr>
        <w:lastRenderedPageBreak/>
        <w:t>•</w:t>
      </w:r>
      <w:r w:rsidRPr="00435B2B">
        <w:rPr>
          <w:rFonts w:ascii="Arial" w:hAnsi="Arial" w:cs="Arial"/>
        </w:rPr>
        <w:tab/>
        <w:t>Телефон для справок: +992 44 600-32-45 </w:t>
      </w:r>
      <w:r w:rsidRPr="00435B2B">
        <w:rPr>
          <w:rFonts w:ascii="Arial" w:hAnsi="Arial" w:cs="Arial"/>
        </w:rPr>
        <w:br/>
        <w:t>•</w:t>
      </w:r>
      <w:r w:rsidRPr="00435B2B">
        <w:rPr>
          <w:rFonts w:ascii="Arial" w:hAnsi="Arial" w:cs="Arial"/>
        </w:rPr>
        <w:tab/>
        <w:t>Электронная почта: </w:t>
      </w:r>
      <w:hyperlink r:id="rId5" w:history="1">
        <w:r w:rsidRPr="00435B2B">
          <w:rPr>
            <w:rStyle w:val="ac"/>
            <w:rFonts w:ascii="Arial" w:hAnsi="Arial" w:cs="Arial"/>
          </w:rPr>
          <w:t>info@idif.tj</w:t>
        </w:r>
      </w:hyperlink>
    </w:p>
    <w:p w14:paraId="0A8EDCF0" w14:textId="77777777" w:rsidR="00435B2B" w:rsidRPr="00435B2B" w:rsidRDefault="00435B2B" w:rsidP="00435B2B">
      <w:pPr>
        <w:rPr>
          <w:rFonts w:ascii="Arial" w:hAnsi="Arial" w:cs="Arial"/>
        </w:rPr>
      </w:pPr>
    </w:p>
    <w:p w14:paraId="25BEA5BA" w14:textId="77777777" w:rsidR="00435B2B" w:rsidRPr="00435B2B" w:rsidRDefault="00435B2B" w:rsidP="00435B2B">
      <w:pPr>
        <w:rPr>
          <w:rFonts w:ascii="Arial" w:hAnsi="Arial" w:cs="Arial"/>
        </w:rPr>
      </w:pPr>
    </w:p>
    <w:p w14:paraId="1DE88F70" w14:textId="77777777" w:rsidR="00435B2B" w:rsidRPr="00435B2B" w:rsidRDefault="00435B2B" w:rsidP="00435B2B">
      <w:pPr>
        <w:rPr>
          <w:rFonts w:ascii="Arial" w:hAnsi="Arial" w:cs="Arial"/>
          <w:color w:val="FFFFFF" w:themeColor="background1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Уровень и охват страхового покрытия Фондом</w:t>
      </w:r>
      <w:r w:rsidRPr="00435B2B">
        <w:rPr>
          <w:rFonts w:ascii="Arial" w:hAnsi="Arial" w:cs="Arial"/>
          <w:color w:val="FFFFFF" w:themeColor="background1"/>
        </w:rPr>
        <w:t> </w:t>
      </w:r>
    </w:p>
    <w:p w14:paraId="7DD37E5F" w14:textId="77777777" w:rsidR="00435B2B" w:rsidRPr="00435B2B" w:rsidRDefault="00435B2B" w:rsidP="00435B2B">
      <w:pPr>
        <w:rPr>
          <w:rFonts w:ascii="Arial" w:hAnsi="Arial" w:cs="Arial"/>
        </w:rPr>
      </w:pPr>
    </w:p>
    <w:p w14:paraId="35A3F5AD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Страхование депозитов и сбережений вкладчиков осуществляется Фондом в обязательном порядке. </w:t>
      </w:r>
    </w:p>
    <w:p w14:paraId="6E14CEBA" w14:textId="77777777" w:rsidR="00435B2B" w:rsidRPr="00435B2B" w:rsidRDefault="00435B2B" w:rsidP="00435B2B">
      <w:pPr>
        <w:rPr>
          <w:rFonts w:ascii="Arial" w:hAnsi="Arial" w:cs="Arial"/>
        </w:rPr>
      </w:pPr>
    </w:p>
    <w:p w14:paraId="2F4BB074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 xml:space="preserve">В соответствии с Законом Республики Таджикистан «О страховании </w:t>
      </w:r>
      <w:proofErr w:type="gramStart"/>
      <w:r w:rsidRPr="00435B2B">
        <w:rPr>
          <w:rFonts w:ascii="Arial" w:hAnsi="Arial" w:cs="Arial"/>
        </w:rPr>
        <w:t>депозитов  и</w:t>
      </w:r>
      <w:proofErr w:type="gramEnd"/>
      <w:r w:rsidRPr="00435B2B">
        <w:rPr>
          <w:rFonts w:ascii="Arial" w:hAnsi="Arial" w:cs="Arial"/>
        </w:rPr>
        <w:t xml:space="preserve"> сбережений» (в редакции Закона Республики Таджикистан «О внесении изменений и дополнений в Закон Республики Таджикистан «О страховании сбережений физических лиц» от 15.03.2023 №1961) вкладчиками, средства которых подлежат страхованию являются — физические лица, в том числе индивидуальные предприниматели, а также юридические лица субъекта малого предпринимательства и некоммерческие организаций. </w:t>
      </w:r>
    </w:p>
    <w:p w14:paraId="05BD27CA" w14:textId="77777777" w:rsidR="00435B2B" w:rsidRPr="00435B2B" w:rsidRDefault="00435B2B" w:rsidP="00435B2B">
      <w:pPr>
        <w:rPr>
          <w:rFonts w:ascii="Arial" w:hAnsi="Arial" w:cs="Arial"/>
        </w:rPr>
      </w:pPr>
    </w:p>
    <w:p w14:paraId="44AC1519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Депозиты и сбережения вкладчиков в национальной и иностранной валютах, размещенные на сберегательных и срочных счетах, а также на банковских платежных картах кредитной организации, которые подтверждаются договорами банковского вклада и (или) банковскими счетами зарплатных и пенсионных платежных карт и (или) сберегательными книжками, являются объектами обязательного страхования.</w:t>
      </w:r>
    </w:p>
    <w:p w14:paraId="18B23A13" w14:textId="77777777" w:rsidR="00435B2B" w:rsidRPr="00435B2B" w:rsidRDefault="00435B2B" w:rsidP="00435B2B">
      <w:pPr>
        <w:rPr>
          <w:rFonts w:ascii="Arial" w:hAnsi="Arial" w:cs="Arial"/>
        </w:rPr>
      </w:pPr>
    </w:p>
    <w:p w14:paraId="086AA427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В то же время, к объектам обязательного страхования не относятся:</w:t>
      </w:r>
    </w:p>
    <w:p w14:paraId="7E2816F3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металлические счета физических и юридических лиц;</w:t>
      </w:r>
      <w:r w:rsidRPr="00435B2B">
        <w:rPr>
          <w:rFonts w:ascii="Arial" w:hAnsi="Arial" w:cs="Arial"/>
        </w:rPr>
        <w:br/>
        <w:t>— деньги и активы, депонированные в банковских сейфовых ячейках;</w:t>
      </w:r>
      <w:r w:rsidRPr="00435B2B">
        <w:rPr>
          <w:rFonts w:ascii="Arial" w:hAnsi="Arial" w:cs="Arial"/>
        </w:rPr>
        <w:br/>
        <w:t>— банковские сертификаты;</w:t>
      </w:r>
      <w:r w:rsidRPr="00435B2B">
        <w:rPr>
          <w:rFonts w:ascii="Arial" w:hAnsi="Arial" w:cs="Arial"/>
        </w:rPr>
        <w:br/>
        <w:t>— депозитные и сберегательные счета юридических лиц, за исключением субъектов малого предпринимательства и некоммерческих организаций;</w:t>
      </w:r>
      <w:r w:rsidRPr="00435B2B">
        <w:rPr>
          <w:rFonts w:ascii="Arial" w:hAnsi="Arial" w:cs="Arial"/>
        </w:rPr>
        <w:br/>
        <w:t>— депозитные и сберегательные счета, открытые в исламских кредитных организациях;</w:t>
      </w:r>
      <w:r w:rsidRPr="00435B2B">
        <w:rPr>
          <w:rFonts w:ascii="Arial" w:hAnsi="Arial" w:cs="Arial"/>
        </w:rPr>
        <w:br/>
        <w:t>— электронные деньги;</w:t>
      </w:r>
      <w:r w:rsidRPr="00435B2B">
        <w:rPr>
          <w:rFonts w:ascii="Arial" w:hAnsi="Arial" w:cs="Arial"/>
        </w:rPr>
        <w:br/>
        <w:t>— депозитные и сберегательные счета, права по которым передаются другим лицам на основании договора, заключенного вне кредитной организации;</w:t>
      </w:r>
      <w:r w:rsidRPr="00435B2B">
        <w:rPr>
          <w:rFonts w:ascii="Arial" w:hAnsi="Arial" w:cs="Arial"/>
        </w:rPr>
        <w:br/>
        <w:t>— депозитные и сберегательные счета, обладатель права распоряжения которыми в кредитной организации не определен. </w:t>
      </w:r>
      <w:r w:rsidRPr="00435B2B">
        <w:rPr>
          <w:rFonts w:ascii="Arial" w:hAnsi="Arial" w:cs="Arial"/>
        </w:rPr>
        <w:br/>
      </w:r>
      <w:r w:rsidRPr="00435B2B">
        <w:rPr>
          <w:rFonts w:ascii="Arial" w:hAnsi="Arial" w:cs="Arial"/>
        </w:rPr>
        <w:lastRenderedPageBreak/>
        <w:t>Страхование вкладов совершенно бесплатно для вкладчиков и не требует заключения специального договора страхования — все расходы и средства несут сами кредитные учреждения и Фонд. Средства вкладчиков автоматически страхуются, а при наступлении страхового случая возмещение выплачивается Фондом.</w:t>
      </w:r>
    </w:p>
    <w:p w14:paraId="63055D9D" w14:textId="77777777" w:rsidR="00435B2B" w:rsidRPr="00435B2B" w:rsidRDefault="00435B2B" w:rsidP="00435B2B">
      <w:pPr>
        <w:rPr>
          <w:rFonts w:ascii="Arial" w:hAnsi="Arial" w:cs="Arial"/>
        </w:rPr>
      </w:pPr>
    </w:p>
    <w:p w14:paraId="5FE53B42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Следовательно, при наступлении страхового случая в кредитной организации, вкладчики имеют законное право на получение страхового возмещения по своим сбережениям в кредитной организации.</w:t>
      </w:r>
    </w:p>
    <w:p w14:paraId="781F2A0A" w14:textId="77777777" w:rsidR="00435B2B" w:rsidRPr="00435B2B" w:rsidRDefault="00435B2B" w:rsidP="00435B2B">
      <w:pPr>
        <w:rPr>
          <w:rFonts w:ascii="Arial" w:hAnsi="Arial" w:cs="Arial"/>
        </w:rPr>
      </w:pPr>
    </w:p>
    <w:p w14:paraId="5E9CC462" w14:textId="77777777" w:rsidR="00435B2B" w:rsidRPr="00435B2B" w:rsidRDefault="00435B2B" w:rsidP="00435B2B">
      <w:pPr>
        <w:rPr>
          <w:rFonts w:ascii="Arial" w:hAnsi="Arial" w:cs="Arial"/>
          <w:color w:val="FFFFFF" w:themeColor="background1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Что является страховым случаем?</w:t>
      </w:r>
    </w:p>
    <w:p w14:paraId="3F26BC18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Страховой случай — это принудительная ликвидация кредитной организации решением суда не по основаниям банкротства или по основаниям банкротства в соответствии с Законом Республики Таджикистан «О ликвидации кредитных организаций», в результате чего возникают обязательства Фонда страхования депозитов и сбережений Таджикистан по выплате суммы страхового возмещения вкладчикам, обанкротившейся кредитной организаций.</w:t>
      </w:r>
    </w:p>
    <w:p w14:paraId="4C0AAC0D" w14:textId="77777777" w:rsidR="00435B2B" w:rsidRPr="00435B2B" w:rsidRDefault="00435B2B" w:rsidP="00435B2B">
      <w:pPr>
        <w:rPr>
          <w:rFonts w:ascii="Arial" w:hAnsi="Arial" w:cs="Arial"/>
        </w:rPr>
      </w:pPr>
    </w:p>
    <w:p w14:paraId="50774590" w14:textId="77777777" w:rsidR="00435B2B" w:rsidRPr="00435B2B" w:rsidRDefault="00435B2B" w:rsidP="00435B2B">
      <w:pPr>
        <w:rPr>
          <w:rFonts w:ascii="Arial" w:hAnsi="Arial" w:cs="Arial"/>
          <w:color w:val="FFFFFF" w:themeColor="background1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Размер страхового возмещения</w:t>
      </w:r>
    </w:p>
    <w:p w14:paraId="0AB49329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При наступлении страхового случая Фонд выплачивает вкладчикам возмещение по депозитам и сбережениям в кредитной организации в пределах установленного законом максимального размера страхового возмещения.</w:t>
      </w:r>
    </w:p>
    <w:p w14:paraId="4C7E4A4F" w14:textId="77777777" w:rsidR="00435B2B" w:rsidRPr="00435B2B" w:rsidRDefault="00435B2B" w:rsidP="00435B2B">
      <w:pPr>
        <w:rPr>
          <w:rFonts w:ascii="Arial" w:hAnsi="Arial" w:cs="Arial"/>
        </w:rPr>
      </w:pPr>
    </w:p>
    <w:p w14:paraId="23F59E4E" w14:textId="77777777" w:rsidR="00435B2B" w:rsidRPr="00435B2B" w:rsidRDefault="00435B2B" w:rsidP="00435B2B">
      <w:pPr>
        <w:rPr>
          <w:rFonts w:ascii="Arial" w:hAnsi="Arial" w:cs="Arial"/>
          <w:color w:val="FFFFFF" w:themeColor="background1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В соответствии с Законом размер возмещения по застрахованным депозитам и сбережениям составляет не более 35 000 сомони. В порядке, установленном Законом, размер страхового возмещения устанавливается следующим образом:</w:t>
      </w:r>
    </w:p>
    <w:p w14:paraId="20C6D581" w14:textId="77777777" w:rsidR="00435B2B" w:rsidRPr="00435B2B" w:rsidRDefault="00435B2B" w:rsidP="00435B2B">
      <w:pPr>
        <w:rPr>
          <w:rFonts w:ascii="Arial" w:hAnsi="Arial" w:cs="Arial"/>
        </w:rPr>
      </w:pPr>
    </w:p>
    <w:p w14:paraId="06F96E10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Если вкладчик имеет несколько депозитных и сберегательных счетов в кредитной организации, то эти счета признаются как один сберегательный счет и возмещение выплачивается исходя из общего размера средств, находящихся на депозитных и сберегательных счетах на сумму, не превышающую 35 000 сомони;</w:t>
      </w:r>
    </w:p>
    <w:p w14:paraId="2A001822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Если страховой случай возникнет в нескольких кредитных организациях, в которых вкладчик имеет депозитный и сберегательные счета, то размер страхового возмещения рассчитывается отдельно для каждой кредитной организации.</w:t>
      </w:r>
    </w:p>
    <w:p w14:paraId="60AA8C4B" w14:textId="77777777" w:rsidR="00435B2B" w:rsidRPr="00435B2B" w:rsidRDefault="00435B2B" w:rsidP="00435B2B">
      <w:pPr>
        <w:rPr>
          <w:rFonts w:ascii="Arial" w:hAnsi="Arial" w:cs="Arial"/>
        </w:rPr>
      </w:pPr>
    </w:p>
    <w:p w14:paraId="09D4FF14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Проценты по депозитам и сбережениям Фондом не возмещаются. Если по договору депозитного и сберегательного счета предусмотрена капитализация процентов, то возмещение будет выплачено по остатку депозитного и сберегательного счетов.</w:t>
      </w:r>
    </w:p>
    <w:p w14:paraId="4B4A4FF9" w14:textId="77777777" w:rsidR="00435B2B" w:rsidRPr="00435B2B" w:rsidRDefault="00435B2B" w:rsidP="00435B2B">
      <w:pPr>
        <w:rPr>
          <w:rFonts w:ascii="Arial" w:hAnsi="Arial" w:cs="Arial"/>
        </w:rPr>
      </w:pPr>
    </w:p>
    <w:p w14:paraId="7CEAD5A6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Депозиты и сбережения, размещенные в национальной валюте, возмещаются в национальной валюте. Депозит и сбережения, размещенные в иностранной валюте, возмещаются в национальной валюте по официальному курсу, установленному на день наступления страхового случая.</w:t>
      </w:r>
    </w:p>
    <w:p w14:paraId="58134B79" w14:textId="77777777" w:rsidR="00435B2B" w:rsidRPr="00435B2B" w:rsidRDefault="00435B2B" w:rsidP="00435B2B">
      <w:pPr>
        <w:rPr>
          <w:rFonts w:ascii="Arial" w:hAnsi="Arial" w:cs="Arial"/>
        </w:rPr>
      </w:pPr>
    </w:p>
    <w:p w14:paraId="774338B2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* Примечание</w:t>
      </w:r>
      <w:proofErr w:type="gramStart"/>
      <w:r w:rsidRPr="00435B2B">
        <w:rPr>
          <w:rFonts w:ascii="Arial" w:hAnsi="Arial" w:cs="Arial"/>
        </w:rPr>
        <w:t>: Если</w:t>
      </w:r>
      <w:proofErr w:type="gramEnd"/>
      <w:r w:rsidRPr="00435B2B">
        <w:rPr>
          <w:rFonts w:ascii="Arial" w:hAnsi="Arial" w:cs="Arial"/>
        </w:rPr>
        <w:t xml:space="preserve"> сумма депозитов и сбережений вкладчика в ликвидированной кредитной организации превышает размер страхового возмещения, оставшаяся сумма выплачивается специальным администратором (ликвидатором) в порядке, установленном законодательством.</w:t>
      </w:r>
    </w:p>
    <w:p w14:paraId="68E2F966" w14:textId="77777777" w:rsidR="00435B2B" w:rsidRPr="00435B2B" w:rsidRDefault="00435B2B" w:rsidP="00435B2B">
      <w:pPr>
        <w:rPr>
          <w:rFonts w:ascii="Arial" w:hAnsi="Arial" w:cs="Arial"/>
        </w:rPr>
      </w:pPr>
    </w:p>
    <w:p w14:paraId="6686BE41" w14:textId="77777777" w:rsidR="00435B2B" w:rsidRPr="00435B2B" w:rsidRDefault="00435B2B" w:rsidP="00435B2B">
      <w:pPr>
        <w:rPr>
          <w:rFonts w:ascii="Arial" w:hAnsi="Arial" w:cs="Arial"/>
          <w:color w:val="FFFFFF" w:themeColor="background1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Выплата страхового возмещения</w:t>
      </w:r>
    </w:p>
    <w:p w14:paraId="5A3DBBA6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 xml:space="preserve">После наступления страхового случая Фонд публикует в СМИ объявление </w:t>
      </w:r>
      <w:proofErr w:type="gramStart"/>
      <w:r w:rsidRPr="00435B2B">
        <w:rPr>
          <w:rFonts w:ascii="Arial" w:hAnsi="Arial" w:cs="Arial"/>
        </w:rPr>
        <w:t>относительно  даты</w:t>
      </w:r>
      <w:proofErr w:type="gramEnd"/>
      <w:r w:rsidRPr="00435B2B">
        <w:rPr>
          <w:rFonts w:ascii="Arial" w:hAnsi="Arial" w:cs="Arial"/>
        </w:rPr>
        <w:t>, времени, формы и порядке осуществления страхового возмещения. Объявление также размещаются при входе в здание Фонда, банк-агента и ликвидированной кредитной организации, и на официальном сайте Фонда.</w:t>
      </w:r>
    </w:p>
    <w:p w14:paraId="0D54A8B3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Максимальный размер страхового возмещения, определенный действующим законодательством, составляет не более 35 000 сомони. При этом согласно порядку, установленным законодательством, при наличии у одного вкладчика в банке двух и более сберегательных счетов, эти счета рассматриваются как один счет и возмещение по ним выплачивается в размере не превышающей установленный законодательством размер страхового возмещения. Оставшаяся сумма сбережений выплачивается в процессе ликвидации специальным администратором (ликвидатором) кредитной организации в установленном законом порядке.</w:t>
      </w:r>
    </w:p>
    <w:p w14:paraId="03D882E5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Процедура получения страхового возмещения максимально проста. Для получения страхового возмещения вкладчику (заявителю) или его представителю необходимо обратиться в банк-агент и предъявить следующие документы:</w:t>
      </w:r>
    </w:p>
    <w:p w14:paraId="24223095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•</w:t>
      </w:r>
      <w:r w:rsidRPr="00435B2B">
        <w:rPr>
          <w:rFonts w:ascii="Arial" w:hAnsi="Arial" w:cs="Arial"/>
        </w:rPr>
        <w:tab/>
        <w:t>Заявление о выплате страхового возмещения по установленной форме. Копию заявления можно получить и заполнить в банке-агенте (обычно банк-</w:t>
      </w:r>
      <w:r w:rsidRPr="00435B2B">
        <w:rPr>
          <w:rFonts w:ascii="Arial" w:hAnsi="Arial" w:cs="Arial"/>
        </w:rPr>
        <w:lastRenderedPageBreak/>
        <w:t>агент предоставляет заполненную электронную форму заявления вкладчику на подпись);</w:t>
      </w:r>
      <w:r w:rsidRPr="00435B2B">
        <w:rPr>
          <w:rFonts w:ascii="Arial" w:hAnsi="Arial" w:cs="Arial"/>
        </w:rPr>
        <w:br/>
        <w:t>•</w:t>
      </w:r>
      <w:r w:rsidRPr="00435B2B">
        <w:rPr>
          <w:rFonts w:ascii="Arial" w:hAnsi="Arial" w:cs="Arial"/>
        </w:rPr>
        <w:tab/>
        <w:t>Документ, удостоверяющий личность вкладчика;</w:t>
      </w:r>
      <w:r w:rsidRPr="00435B2B">
        <w:rPr>
          <w:rFonts w:ascii="Arial" w:hAnsi="Arial" w:cs="Arial"/>
        </w:rPr>
        <w:br/>
        <w:t>•</w:t>
      </w:r>
      <w:r w:rsidRPr="00435B2B">
        <w:rPr>
          <w:rFonts w:ascii="Arial" w:hAnsi="Arial" w:cs="Arial"/>
        </w:rPr>
        <w:tab/>
        <w:t>Идентификационный номер налогоплательщика;</w:t>
      </w:r>
      <w:r w:rsidRPr="00435B2B">
        <w:rPr>
          <w:rFonts w:ascii="Arial" w:hAnsi="Arial" w:cs="Arial"/>
        </w:rPr>
        <w:br/>
        <w:t>•</w:t>
      </w:r>
      <w:r w:rsidRPr="00435B2B">
        <w:rPr>
          <w:rFonts w:ascii="Arial" w:hAnsi="Arial" w:cs="Arial"/>
        </w:rPr>
        <w:tab/>
        <w:t>Договор банковского вклада;</w:t>
      </w:r>
      <w:r w:rsidRPr="00435B2B">
        <w:rPr>
          <w:rFonts w:ascii="Arial" w:hAnsi="Arial" w:cs="Arial"/>
        </w:rPr>
        <w:br/>
        <w:t>•</w:t>
      </w:r>
      <w:r w:rsidRPr="00435B2B">
        <w:rPr>
          <w:rFonts w:ascii="Arial" w:hAnsi="Arial" w:cs="Arial"/>
        </w:rPr>
        <w:tab/>
        <w:t>Доверенность, если от имени вкладчика выступает его законный представитель.</w:t>
      </w:r>
    </w:p>
    <w:p w14:paraId="4EAE901B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В случае изменения фамилии, имени или отчества заявитель должен предоставить в банк-агент справку об изменении фамилии, имени или отчества или свидетельство о браке, выданное уполномоченным органом.</w:t>
      </w:r>
    </w:p>
    <w:p w14:paraId="19DB3CB2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Вкладчики, не имеющие возможности лично явиться в банк-агент, могут поручить своему представителю подать заявление от их имени на основании доверенности, выданной нотариальным органом. В банке-агенте представитель вкладчика должен иметь доверенность и документ, удостоверяющий личность.</w:t>
      </w:r>
    </w:p>
    <w:p w14:paraId="0AB426D3" w14:textId="77777777" w:rsidR="00435B2B" w:rsidRPr="00435B2B" w:rsidRDefault="00435B2B" w:rsidP="00435B2B">
      <w:pPr>
        <w:rPr>
          <w:rFonts w:ascii="Arial" w:hAnsi="Arial" w:cs="Arial"/>
        </w:rPr>
      </w:pPr>
    </w:p>
    <w:p w14:paraId="3C421BEF" w14:textId="77777777" w:rsidR="00435B2B" w:rsidRPr="00435B2B" w:rsidRDefault="00435B2B" w:rsidP="00435B2B">
      <w:pPr>
        <w:rPr>
          <w:rFonts w:ascii="Arial" w:hAnsi="Arial" w:cs="Arial"/>
          <w:color w:val="FFFFFF" w:themeColor="background1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Информация для вкладчиков</w:t>
      </w:r>
    </w:p>
    <w:p w14:paraId="4F366AE7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 xml:space="preserve">1. </w:t>
      </w:r>
      <w:r w:rsidRPr="00435B2B">
        <w:rPr>
          <w:rFonts w:ascii="Arial" w:hAnsi="Arial" w:cs="Arial"/>
          <w:b/>
          <w:bCs/>
          <w:color w:val="0050C8"/>
        </w:rPr>
        <w:t>Проверьте выбранную кредитную организацию</w:t>
      </w:r>
      <w:r w:rsidRPr="00435B2B">
        <w:rPr>
          <w:rFonts w:ascii="Arial" w:hAnsi="Arial" w:cs="Arial"/>
          <w:color w:val="0050C8"/>
        </w:rPr>
        <w:t>. </w:t>
      </w:r>
      <w:r w:rsidRPr="00435B2B">
        <w:rPr>
          <w:rFonts w:ascii="Arial" w:hAnsi="Arial" w:cs="Arial"/>
        </w:rPr>
        <w:t xml:space="preserve">Убедитесь, что кредитная организация, в которой Вы собираетесь внести </w:t>
      </w:r>
      <w:proofErr w:type="gramStart"/>
      <w:r w:rsidRPr="00435B2B">
        <w:rPr>
          <w:rFonts w:ascii="Arial" w:hAnsi="Arial" w:cs="Arial"/>
        </w:rPr>
        <w:t>вклад</w:t>
      </w:r>
      <w:proofErr w:type="gramEnd"/>
      <w:r w:rsidRPr="00435B2B">
        <w:rPr>
          <w:rFonts w:ascii="Arial" w:hAnsi="Arial" w:cs="Arial"/>
        </w:rPr>
        <w:t xml:space="preserve"> является — участником системы страхования депозитов и сбережений и имеет сертификат членства в Фонде страхования депозитов и сбережений Таджикистана. </w:t>
      </w:r>
    </w:p>
    <w:p w14:paraId="75AFF9E7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 xml:space="preserve">2. </w:t>
      </w:r>
      <w:r w:rsidRPr="00435B2B">
        <w:rPr>
          <w:rFonts w:ascii="Arial" w:hAnsi="Arial" w:cs="Arial"/>
          <w:b/>
          <w:bCs/>
          <w:color w:val="0050C8"/>
        </w:rPr>
        <w:t>Проверьте данные депозитного договора.</w:t>
      </w:r>
      <w:r w:rsidRPr="00435B2B">
        <w:rPr>
          <w:rFonts w:ascii="Arial" w:hAnsi="Arial" w:cs="Arial"/>
        </w:rPr>
        <w:t> Внимательно проверьте правильность написания Вашего имени, паспортных данных, ИНН, телефона и почтового адреса в депозитном и/или сберегательном договоре, всегда сообщайте кредитной организации об изменениях — это позволит без проблем найти Вас в числе вкладчиков при выплате страхового возмещения. Уточните в кредитной организации, о страховании Ваших средств в Фонде страхования депозитов и сбережений Таджикистана.</w:t>
      </w:r>
    </w:p>
    <w:p w14:paraId="7B1318E3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3. Помните, что при возникновении страхового случая возмещение не выплачивается по следующим депозитам и сбережениям</w:t>
      </w:r>
      <w:r w:rsidRPr="00435B2B">
        <w:rPr>
          <w:rFonts w:ascii="Arial" w:hAnsi="Arial" w:cs="Arial"/>
        </w:rPr>
        <w:t>:</w:t>
      </w:r>
    </w:p>
    <w:p w14:paraId="26AEB3FA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депозиты и сбережения, полученные преступным путем или арестованные судом;</w:t>
      </w:r>
    </w:p>
    <w:p w14:paraId="173B4CDF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депозиты и сбережения, которые по заключению Национального банка Таджикистана способствовали ухудшению финансового положения кредитной организации;</w:t>
      </w:r>
      <w:r w:rsidRPr="00435B2B">
        <w:rPr>
          <w:rFonts w:ascii="Arial" w:hAnsi="Arial" w:cs="Arial"/>
        </w:rPr>
        <w:br/>
        <w:t>— депозиты и сбережения определенные законом связанных (аффилированных) лиц кредитной организации, а также лиц, которые в течение последнего года до ликвидации кредитной организации считались таковыми;</w:t>
      </w:r>
      <w:r w:rsidRPr="00435B2B">
        <w:rPr>
          <w:rFonts w:ascii="Arial" w:hAnsi="Arial" w:cs="Arial"/>
        </w:rPr>
        <w:br/>
        <w:t xml:space="preserve">— депозиты и сбережения партнеров аудиторской фирмы, которые были задействованы в качестве аудиторов кредитной организации в календарном </w:t>
      </w:r>
      <w:r w:rsidRPr="00435B2B">
        <w:rPr>
          <w:rFonts w:ascii="Arial" w:hAnsi="Arial" w:cs="Arial"/>
        </w:rPr>
        <w:lastRenderedPageBreak/>
        <w:t>году, предшествовавшем дате наступления страхового случая;</w:t>
      </w:r>
      <w:r w:rsidRPr="00435B2B">
        <w:rPr>
          <w:rFonts w:ascii="Arial" w:hAnsi="Arial" w:cs="Arial"/>
        </w:rPr>
        <w:br/>
        <w:t xml:space="preserve">— депозиты и сбережения лиц, владеющих более чем пятью процентами акций кредитной организации на началах </w:t>
      </w:r>
      <w:proofErr w:type="spellStart"/>
      <w:r w:rsidRPr="00435B2B">
        <w:rPr>
          <w:rFonts w:ascii="Arial" w:hAnsi="Arial" w:cs="Arial"/>
        </w:rPr>
        <w:t>выгодоприобретения</w:t>
      </w:r>
      <w:proofErr w:type="spellEnd"/>
      <w:r w:rsidRPr="00435B2B">
        <w:rPr>
          <w:rFonts w:ascii="Arial" w:hAnsi="Arial" w:cs="Arial"/>
        </w:rPr>
        <w:t>;</w:t>
      </w:r>
      <w:r w:rsidRPr="00435B2B">
        <w:rPr>
          <w:rFonts w:ascii="Arial" w:hAnsi="Arial" w:cs="Arial"/>
        </w:rPr>
        <w:br/>
        <w:t>— депозиты и сбережения, размещенные в иностранных филиалах кредитной организации;</w:t>
      </w:r>
      <w:r w:rsidRPr="00435B2B">
        <w:rPr>
          <w:rFonts w:ascii="Arial" w:hAnsi="Arial" w:cs="Arial"/>
        </w:rPr>
        <w:br/>
        <w:t>— депозиты и сбережения на сумму любой не погашенной задолженности вкладчика перед кредитной организацией;</w:t>
      </w:r>
      <w:r w:rsidRPr="00435B2B">
        <w:rPr>
          <w:rFonts w:ascii="Arial" w:hAnsi="Arial" w:cs="Arial"/>
        </w:rPr>
        <w:br/>
        <w:t>— депозитов и сбережения на сумму менее 10 сомони.</w:t>
      </w:r>
      <w:r w:rsidRPr="00435B2B">
        <w:rPr>
          <w:rFonts w:ascii="Arial" w:hAnsi="Arial" w:cs="Arial"/>
        </w:rPr>
        <w:br/>
        <w:t>— при чрезвычайных случаях, которые не позволили вкладчику обратиться за получением возмещения.</w:t>
      </w:r>
    </w:p>
    <w:p w14:paraId="5900D2B0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  <w:color w:val="FFFFFF" w:themeColor="background1"/>
          <w:highlight w:val="blue"/>
        </w:rPr>
        <w:t>4. Не беспокойтесь и запомните</w:t>
      </w:r>
      <w:r w:rsidRPr="00435B2B">
        <w:rPr>
          <w:rFonts w:ascii="Arial" w:hAnsi="Arial" w:cs="Arial"/>
          <w:highlight w:val="blue"/>
        </w:rPr>
        <w:t>.</w:t>
      </w:r>
      <w:r w:rsidRPr="00435B2B">
        <w:rPr>
          <w:rFonts w:ascii="Arial" w:hAnsi="Arial" w:cs="Arial"/>
        </w:rPr>
        <w:t> </w:t>
      </w:r>
    </w:p>
    <w:p w14:paraId="0F9F9550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При возникновении страхового случая приходите за страховым возмещением в любое удобное для вас время — на это есть год. По возможности, не спешите за получением страховки в первый день выплат — могут быть очереди. По заявлению вкладчика, Фонд может продлить срок обращения вкладчика на получение возмещения при следующих обстоятельствах:</w:t>
      </w:r>
    </w:p>
    <w:p w14:paraId="782FDCB3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если вкладчик страдает физическим или умственным недостатком и не способен обратиться за получением возмещением своевременно;</w:t>
      </w:r>
    </w:p>
    <w:p w14:paraId="5F32B989" w14:textId="77777777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t>— при чрезвычайных случаях, которые не позволили вкладчику обратиться за получением возмещения.</w:t>
      </w:r>
    </w:p>
    <w:p w14:paraId="33BCADC1" w14:textId="77777777" w:rsidR="00435B2B" w:rsidRPr="00435B2B" w:rsidRDefault="00435B2B" w:rsidP="00435B2B">
      <w:pPr>
        <w:rPr>
          <w:rFonts w:ascii="Arial" w:hAnsi="Arial" w:cs="Arial"/>
        </w:rPr>
      </w:pPr>
    </w:p>
    <w:p w14:paraId="2725EE98" w14:textId="77777777" w:rsidR="00435B2B" w:rsidRPr="00435B2B" w:rsidRDefault="00435B2B" w:rsidP="00435B2B">
      <w:pPr>
        <w:rPr>
          <w:rFonts w:ascii="Arial" w:hAnsi="Arial" w:cs="Arial"/>
        </w:rPr>
      </w:pPr>
    </w:p>
    <w:p w14:paraId="0F283A5A" w14:textId="77777777" w:rsidR="00435B2B" w:rsidRPr="00435B2B" w:rsidRDefault="00435B2B" w:rsidP="00435B2B">
      <w:pPr>
        <w:rPr>
          <w:rFonts w:ascii="Arial" w:hAnsi="Arial" w:cs="Arial"/>
        </w:rPr>
      </w:pPr>
    </w:p>
    <w:p w14:paraId="34FEF097" w14:textId="77777777" w:rsidR="00435B2B" w:rsidRPr="00435B2B" w:rsidRDefault="00435B2B" w:rsidP="00435B2B">
      <w:pPr>
        <w:rPr>
          <w:rFonts w:ascii="Arial" w:hAnsi="Arial" w:cs="Arial"/>
        </w:rPr>
      </w:pPr>
    </w:p>
    <w:p w14:paraId="1CF4922F" w14:textId="77777777" w:rsidR="00435B2B" w:rsidRPr="00435B2B" w:rsidRDefault="00435B2B" w:rsidP="00435B2B">
      <w:pPr>
        <w:rPr>
          <w:rFonts w:ascii="Arial" w:hAnsi="Arial" w:cs="Arial"/>
        </w:rPr>
      </w:pPr>
    </w:p>
    <w:p w14:paraId="1DFE6519" w14:textId="77777777" w:rsidR="00435B2B" w:rsidRPr="00435B2B" w:rsidRDefault="00435B2B" w:rsidP="00435B2B">
      <w:pPr>
        <w:rPr>
          <w:rFonts w:ascii="Arial" w:hAnsi="Arial" w:cs="Arial"/>
        </w:rPr>
      </w:pPr>
    </w:p>
    <w:p w14:paraId="1B166273" w14:textId="77777777" w:rsidR="00435B2B" w:rsidRPr="00435B2B" w:rsidRDefault="00435B2B" w:rsidP="00435B2B">
      <w:pPr>
        <w:rPr>
          <w:rFonts w:ascii="Arial" w:hAnsi="Arial" w:cs="Arial"/>
        </w:rPr>
      </w:pPr>
    </w:p>
    <w:p w14:paraId="50B08506" w14:textId="77777777" w:rsidR="00435B2B" w:rsidRPr="00435B2B" w:rsidRDefault="00435B2B" w:rsidP="00435B2B">
      <w:pPr>
        <w:rPr>
          <w:rFonts w:ascii="Arial" w:hAnsi="Arial" w:cs="Arial"/>
        </w:rPr>
      </w:pPr>
    </w:p>
    <w:p w14:paraId="6321A9CB" w14:textId="77777777" w:rsidR="00435B2B" w:rsidRDefault="00435B2B" w:rsidP="00435B2B">
      <w:pPr>
        <w:rPr>
          <w:rFonts w:ascii="Arial" w:hAnsi="Arial" w:cs="Arial"/>
          <w:lang w:val="en-US"/>
        </w:rPr>
      </w:pPr>
    </w:p>
    <w:p w14:paraId="2CE6C74E" w14:textId="77777777" w:rsidR="00435B2B" w:rsidRDefault="00435B2B" w:rsidP="00435B2B">
      <w:pPr>
        <w:rPr>
          <w:rFonts w:ascii="Arial" w:hAnsi="Arial" w:cs="Arial"/>
          <w:lang w:val="en-US"/>
        </w:rPr>
      </w:pPr>
    </w:p>
    <w:p w14:paraId="30D96511" w14:textId="77777777" w:rsidR="00435B2B" w:rsidRDefault="00435B2B" w:rsidP="00435B2B">
      <w:pPr>
        <w:rPr>
          <w:rFonts w:ascii="Arial" w:hAnsi="Arial" w:cs="Arial"/>
          <w:lang w:val="en-US"/>
        </w:rPr>
      </w:pPr>
    </w:p>
    <w:p w14:paraId="6BF6FE0C" w14:textId="77777777" w:rsidR="00435B2B" w:rsidRDefault="00435B2B" w:rsidP="00435B2B">
      <w:pPr>
        <w:rPr>
          <w:rFonts w:ascii="Arial" w:hAnsi="Arial" w:cs="Arial"/>
          <w:lang w:val="en-US"/>
        </w:rPr>
      </w:pPr>
    </w:p>
    <w:p w14:paraId="4171D92B" w14:textId="77777777" w:rsidR="00435B2B" w:rsidRPr="00435B2B" w:rsidRDefault="00435B2B" w:rsidP="00435B2B">
      <w:pPr>
        <w:rPr>
          <w:rFonts w:ascii="Arial" w:hAnsi="Arial" w:cs="Arial"/>
          <w:lang w:val="en-US"/>
        </w:rPr>
      </w:pPr>
    </w:p>
    <w:p w14:paraId="70B733A9" w14:textId="77777777" w:rsidR="00435B2B" w:rsidRPr="00435B2B" w:rsidRDefault="00435B2B" w:rsidP="00435B2B">
      <w:pPr>
        <w:rPr>
          <w:rFonts w:ascii="Arial" w:hAnsi="Arial" w:cs="Arial"/>
        </w:rPr>
      </w:pPr>
    </w:p>
    <w:p w14:paraId="38049603" w14:textId="198DD1D2" w:rsidR="00435B2B" w:rsidRPr="00435B2B" w:rsidRDefault="00435B2B" w:rsidP="00435B2B">
      <w:pPr>
        <w:rPr>
          <w:rFonts w:ascii="Arial" w:hAnsi="Arial" w:cs="Arial"/>
        </w:rPr>
      </w:pPr>
      <w:r w:rsidRPr="00435B2B">
        <w:rPr>
          <w:rFonts w:ascii="Arial" w:hAnsi="Arial" w:cs="Arial"/>
        </w:rPr>
        <w:lastRenderedPageBreak/>
        <w:t> </w:t>
      </w:r>
      <w:hyperlink r:id="rId6" w:history="1">
        <w:r w:rsidRPr="00435B2B">
          <w:rPr>
            <w:rStyle w:val="ac"/>
            <w:rFonts w:ascii="Arial" w:hAnsi="Arial" w:cs="Arial"/>
          </w:rPr>
          <w:t xml:space="preserve">Свидетельство ОАО “Банк </w:t>
        </w:r>
        <w:proofErr w:type="spellStart"/>
        <w:r w:rsidRPr="00435B2B">
          <w:rPr>
            <w:rStyle w:val="ac"/>
            <w:rFonts w:ascii="Arial" w:hAnsi="Arial" w:cs="Arial"/>
          </w:rPr>
          <w:t>Эсхата</w:t>
        </w:r>
        <w:proofErr w:type="spellEnd"/>
        <w:r w:rsidRPr="00435B2B">
          <w:rPr>
            <w:rStyle w:val="ac"/>
            <w:rFonts w:ascii="Arial" w:hAnsi="Arial" w:cs="Arial"/>
          </w:rPr>
          <w:t>” о членстве в Фонде</w:t>
        </w:r>
      </w:hyperlink>
    </w:p>
    <w:p w14:paraId="10D78B09" w14:textId="75DA3196" w:rsidR="00435B2B" w:rsidRPr="00435B2B" w:rsidRDefault="00435B2B">
      <w:pPr>
        <w:rPr>
          <w:rFonts w:ascii="Arial" w:hAnsi="Arial" w:cs="Arial"/>
        </w:rPr>
      </w:pPr>
      <w:r w:rsidRPr="00435B2B">
        <w:rPr>
          <w:rFonts w:ascii="Arial" w:hAnsi="Arial" w:cs="Arial"/>
          <w:noProof/>
        </w:rPr>
        <w:drawing>
          <wp:inline distT="0" distB="0" distL="0" distR="0" wp14:anchorId="4EAD3017" wp14:editId="1545EEDC">
            <wp:extent cx="5956300" cy="8497593"/>
            <wp:effectExtent l="0" t="0" r="6350" b="0"/>
            <wp:docPr id="2014940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40797" name="Рисунок 20149407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83" cy="849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B2B" w:rsidRPr="00435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B2B"/>
    <w:rsid w:val="00435B2B"/>
    <w:rsid w:val="00CC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6FAE3"/>
  <w15:chartTrackingRefBased/>
  <w15:docId w15:val="{58FE99FC-FE2E-430C-937D-1158D8F7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5B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B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5B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5B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5B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5B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5B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5B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5B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5B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35B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35B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35B2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5B2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5B2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35B2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35B2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35B2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5B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35B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5B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35B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35B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35B2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35B2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35B2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35B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35B2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35B2B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35B2B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435B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4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5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3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3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2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4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ld.eskhata.com/%D0%A2%D0%B0%D1%81%D0%B4%D0%B8%D2%9B%D0%BD%D0%BE%D0%BC%D0%B0%D0%B8%20%D0%A5%D0%B0%D0%B7%D0%B8%D0%BD%D0%B0.jpg" TargetMode="External"/><Relationship Id="rId5" Type="http://schemas.openxmlformats.org/officeDocument/2006/relationships/hyperlink" Target="https://old.eskhata.com/individuals/deposit/info@idif.tj" TargetMode="External"/><Relationship Id="rId4" Type="http://schemas.openxmlformats.org/officeDocument/2006/relationships/hyperlink" Target="https://old.eskhata.com/individuals/deposit/www.idif.tj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1648</Words>
  <Characters>9396</Characters>
  <Application>Microsoft Office Word</Application>
  <DocSecurity>0</DocSecurity>
  <Lines>78</Lines>
  <Paragraphs>22</Paragraphs>
  <ScaleCrop>false</ScaleCrop>
  <Company/>
  <LinksUpToDate>false</LinksUpToDate>
  <CharactersWithSpaces>11022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Исматуллоев  Фуркатулло  Сайфуллоевич</dc:creator>
  <cp:keywords/>
  <dc:description/>
  <cp:lastModifiedBy>Исматуллоев  Фуркатулло  Сайфуллоевич</cp:lastModifiedBy>
  <cp:revision>1</cp:revision>
  <dcterms:created xsi:type="dcterms:W3CDTF">2024-12-02T05:30:00Z</dcterms:created>
  <dcterms:modified xsi:type="dcterms:W3CDTF">2024-12-02T05:41:00Z</dcterms:modified>
</cp:coreProperties>
</file>